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795" w:type="dxa"/>
        <w:jc w:val="center"/>
        <w:tblInd w:w="0" w:type="dxa"/>
        <w:tblLayout w:type="fixed"/>
        <w:tblCellMar>
          <w:top w:w="0" w:type="dxa"/>
          <w:left w:w="0" w:type="dxa"/>
          <w:bottom w:w="0" w:type="dxa"/>
          <w:right w:w="0" w:type="dxa"/>
        </w:tblCellMar>
      </w:tblPr>
      <w:tblGrid>
        <w:gridCol w:w="8795"/>
      </w:tblGrid>
      <w:tr>
        <w:tblPrEx>
          <w:tblLayout w:type="fixed"/>
          <w:tblCellMar>
            <w:top w:w="0" w:type="dxa"/>
            <w:left w:w="0" w:type="dxa"/>
            <w:bottom w:w="0" w:type="dxa"/>
            <w:right w:w="0" w:type="dxa"/>
          </w:tblCellMar>
        </w:tblPrEx>
        <w:trPr>
          <w:trHeight w:val="1708" w:hRule="atLeast"/>
          <w:jc w:val="center"/>
        </w:trPr>
        <w:tc>
          <w:tcPr>
            <w:tcW w:w="8795" w:type="dxa"/>
            <w:vAlign w:val="center"/>
          </w:tcPr>
          <w:p>
            <w:pPr>
              <w:widowControl/>
              <w:spacing w:before="100" w:beforeAutospacing="1" w:after="100" w:afterAutospacing="1"/>
              <w:jc w:val="center"/>
              <w:rPr>
                <w:rFonts w:ascii="宋体" w:hAnsi="宋体" w:eastAsia="宋体" w:cs="宋体"/>
                <w:color w:val="333333"/>
                <w:kern w:val="0"/>
                <w:sz w:val="24"/>
                <w:szCs w:val="24"/>
              </w:rPr>
            </w:pPr>
            <w:r>
              <w:rPr>
                <w:rFonts w:ascii="华文仿宋" w:hAnsi="华文仿宋" w:eastAsia="华文仿宋" w:cs="宋体"/>
                <w:color w:val="333333"/>
                <w:kern w:val="0"/>
                <w:sz w:val="28"/>
                <w:szCs w:val="28"/>
              </w:rPr>
              <w:drawing>
                <wp:inline distT="0" distB="0" distL="0" distR="0">
                  <wp:extent cx="4619625" cy="800100"/>
                  <wp:effectExtent l="0" t="0" r="9525" b="0"/>
                  <wp:docPr id="1" name="图片 1" descr="中央财经大学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央财经大学文件"/>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619625" cy="800100"/>
                          </a:xfrm>
                          <a:prstGeom prst="rect">
                            <a:avLst/>
                          </a:prstGeom>
                          <a:noFill/>
                          <a:ln>
                            <a:noFill/>
                          </a:ln>
                        </pic:spPr>
                      </pic:pic>
                    </a:graphicData>
                  </a:graphic>
                </wp:inline>
              </w:drawing>
            </w:r>
          </w:p>
        </w:tc>
      </w:tr>
      <w:tr>
        <w:tblPrEx>
          <w:tblLayout w:type="fixed"/>
          <w:tblCellMar>
            <w:top w:w="0" w:type="dxa"/>
            <w:left w:w="0" w:type="dxa"/>
            <w:bottom w:w="0" w:type="dxa"/>
            <w:right w:w="0" w:type="dxa"/>
          </w:tblCellMar>
        </w:tblPrEx>
        <w:trPr>
          <w:trHeight w:val="450" w:hRule="atLeast"/>
          <w:jc w:val="center"/>
        </w:trPr>
        <w:tc>
          <w:tcPr>
            <w:tcW w:w="8795" w:type="dxa"/>
            <w:vAlign w:val="center"/>
          </w:tcPr>
          <w:p>
            <w:pPr>
              <w:widowControl/>
              <w:spacing w:before="100" w:beforeAutospacing="1" w:after="100" w:afterAutospacing="1"/>
              <w:jc w:val="center"/>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校发〔2016〕142号</w:t>
            </w:r>
          </w:p>
        </w:tc>
      </w:tr>
      <w:tr>
        <w:tblPrEx>
          <w:tblLayout w:type="fixed"/>
          <w:tblCellMar>
            <w:top w:w="0" w:type="dxa"/>
            <w:left w:w="0" w:type="dxa"/>
            <w:bottom w:w="0" w:type="dxa"/>
            <w:right w:w="0" w:type="dxa"/>
          </w:tblCellMar>
        </w:tblPrEx>
        <w:trPr>
          <w:trHeight w:val="796" w:hRule="atLeast"/>
          <w:jc w:val="center"/>
        </w:trPr>
        <w:tc>
          <w:tcPr>
            <w:tcW w:w="8795" w:type="dxa"/>
          </w:tcPr>
          <w:p>
            <w:pPr>
              <w:widowControl/>
              <w:spacing w:before="100" w:beforeAutospacing="1" w:after="100" w:afterAutospacing="1"/>
              <w:jc w:val="center"/>
              <w:rPr>
                <w:rFonts w:ascii="宋体" w:hAnsi="宋体" w:eastAsia="宋体" w:cs="宋体"/>
                <w:color w:val="333333"/>
                <w:kern w:val="0"/>
                <w:sz w:val="24"/>
                <w:szCs w:val="24"/>
              </w:rPr>
            </w:pPr>
            <w:r>
              <w:rPr>
                <w:rFonts w:ascii="宋体" w:hAnsi="宋体" w:eastAsia="宋体" w:cs="宋体"/>
                <w:color w:val="333333"/>
                <w:kern w:val="0"/>
                <w:sz w:val="28"/>
                <w:szCs w:val="28"/>
              </w:rPr>
              <w:drawing>
                <wp:inline distT="0" distB="0" distL="0" distR="0">
                  <wp:extent cx="5372100" cy="304800"/>
                  <wp:effectExtent l="0" t="0" r="0" b="0"/>
                  <wp:docPr id="2" name="图片 2" descr="http://menhu.cufe.edu.cn/cufeoa/vfs?path=/information/4028878b573c3a7e01576a4254271464/information.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menhu.cufe.edu.cn/cufeoa/vfs?path=/information/4028878b573c3a7e01576a4254271464/information.files/image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372100" cy="304800"/>
                          </a:xfrm>
                          <a:prstGeom prst="rect">
                            <a:avLst/>
                          </a:prstGeom>
                          <a:noFill/>
                          <a:ln>
                            <a:noFill/>
                          </a:ln>
                        </pic:spPr>
                      </pic:pic>
                    </a:graphicData>
                  </a:graphic>
                </wp:inline>
              </w:drawing>
            </w:r>
          </w:p>
        </w:tc>
      </w:tr>
      <w:tr>
        <w:tblPrEx>
          <w:tblLayout w:type="fixed"/>
          <w:tblCellMar>
            <w:top w:w="0" w:type="dxa"/>
            <w:left w:w="0" w:type="dxa"/>
            <w:bottom w:w="0" w:type="dxa"/>
            <w:right w:w="0" w:type="dxa"/>
          </w:tblCellMar>
        </w:tblPrEx>
        <w:trPr>
          <w:trHeight w:val="491" w:hRule="atLeast"/>
          <w:jc w:val="center"/>
        </w:trPr>
        <w:tc>
          <w:tcPr>
            <w:tcW w:w="8795" w:type="dxa"/>
          </w:tcPr>
          <w:p>
            <w:pPr>
              <w:widowControl/>
              <w:spacing w:before="100" w:beforeAutospacing="1" w:after="100" w:afterAutospacing="1" w:line="36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36"/>
                <w:szCs w:val="36"/>
              </w:rPr>
              <w:t>关于印发《中央财经大学</w:t>
            </w:r>
          </w:p>
          <w:p>
            <w:pPr>
              <w:widowControl/>
              <w:spacing w:before="100" w:beforeAutospacing="1" w:after="100" w:afterAutospacing="1" w:line="360" w:lineRule="auto"/>
              <w:jc w:val="center"/>
              <w:rPr>
                <w:rFonts w:ascii="宋体" w:hAnsi="宋体" w:eastAsia="宋体" w:cs="宋体"/>
                <w:color w:val="333333"/>
                <w:kern w:val="0"/>
                <w:sz w:val="24"/>
                <w:szCs w:val="24"/>
              </w:rPr>
            </w:pPr>
            <w:r>
              <w:rPr>
                <w:rFonts w:hint="eastAsia" w:ascii="宋体" w:hAnsi="宋体" w:eastAsia="宋体" w:cs="宋体"/>
                <w:color w:val="333333"/>
                <w:kern w:val="0"/>
                <w:sz w:val="36"/>
                <w:szCs w:val="36"/>
              </w:rPr>
              <w:t>本科生国家励志奖学金评审办法》的通知</w:t>
            </w:r>
          </w:p>
        </w:tc>
      </w:tr>
      <w:tr>
        <w:tblPrEx>
          <w:tblLayout w:type="fixed"/>
          <w:tblCellMar>
            <w:top w:w="0" w:type="dxa"/>
            <w:left w:w="0" w:type="dxa"/>
            <w:bottom w:w="0" w:type="dxa"/>
            <w:right w:w="0" w:type="dxa"/>
          </w:tblCellMar>
        </w:tblPrEx>
        <w:trPr>
          <w:trHeight w:val="467" w:hRule="atLeast"/>
          <w:jc w:val="center"/>
        </w:trPr>
        <w:tc>
          <w:tcPr>
            <w:tcW w:w="8795" w:type="dxa"/>
          </w:tcPr>
          <w:p>
            <w:pPr>
              <w:widowControl/>
              <w:spacing w:before="100" w:beforeAutospacing="1" w:after="100" w:afterAutospacing="1" w:line="360" w:lineRule="auto"/>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 </w:t>
            </w:r>
          </w:p>
          <w:p>
            <w:pPr>
              <w:widowControl/>
              <w:spacing w:before="100" w:beforeAutospacing="1" w:after="100" w:afterAutospacing="1" w:line="360" w:lineRule="auto"/>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各有关单位、部门：</w:t>
            </w: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 xml:space="preserve">为了进一步做好本科生国家励志奖学金的申请和评审工作，保证本科生国家励志奖学金的评审质量，根据财政部、教育部《普通本科高校、高等职业学校国家励志奖学金管理暂行办法》（财教〔2007〕91号）的精神，结合我校实际情况，学校修订了原《中央财经大学国家励志奖学金评审办法》（校发〔2012〕64号），现印发给你们，请遵照执行。 </w:t>
            </w:r>
          </w:p>
          <w:p>
            <w:pPr>
              <w:widowControl/>
              <w:spacing w:before="100" w:beforeAutospacing="1" w:after="100" w:afterAutospacing="1"/>
              <w:ind w:firstLine="640"/>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特此通知。</w:t>
            </w:r>
          </w:p>
          <w:p>
            <w:pPr>
              <w:widowControl/>
              <w:spacing w:before="100" w:beforeAutospacing="1" w:after="100" w:afterAutospacing="1" w:line="500" w:lineRule="atLeast"/>
              <w:ind w:firstLine="4340"/>
              <w:jc w:val="center"/>
              <w:rPr>
                <w:rFonts w:ascii="宋体" w:hAnsi="宋体" w:eastAsia="宋体" w:cs="宋体"/>
                <w:color w:val="333333"/>
                <w:kern w:val="0"/>
                <w:sz w:val="24"/>
                <w:szCs w:val="24"/>
              </w:rPr>
            </w:pPr>
            <w:r>
              <w:rPr>
                <w:rFonts w:hint="eastAsia" w:ascii="仿宋_GB2312" w:hAnsi="宋体" w:eastAsia="仿宋_GB2312" w:cs="宋体"/>
                <w:color w:val="000000"/>
                <w:kern w:val="0"/>
                <w:sz w:val="28"/>
                <w:szCs w:val="28"/>
              </w:rPr>
              <w:t> </w:t>
            </w:r>
            <w:r>
              <w:rPr>
                <w:rFonts w:hint="eastAsia" w:ascii="仿宋_GB2312" w:hAnsi="宋体" w:eastAsia="仿宋_GB2312" w:cs="宋体"/>
                <w:color w:val="333333"/>
                <w:kern w:val="0"/>
                <w:sz w:val="32"/>
                <w:szCs w:val="32"/>
              </w:rPr>
              <w:t>中央财经大学</w:t>
            </w:r>
          </w:p>
          <w:p>
            <w:pPr>
              <w:widowControl/>
              <w:spacing w:before="100" w:beforeAutospacing="1" w:after="100" w:afterAutospacing="1" w:line="500" w:lineRule="atLeast"/>
              <w:ind w:firstLine="4426"/>
              <w:jc w:val="center"/>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2016年9月23日</w:t>
            </w:r>
          </w:p>
          <w:p>
            <w:pPr>
              <w:widowControl/>
              <w:spacing w:before="100" w:beforeAutospacing="1" w:after="100" w:afterAutospacing="1" w:line="360" w:lineRule="auto"/>
              <w:jc w:val="center"/>
              <w:rPr>
                <w:rFonts w:ascii="宋体" w:hAnsi="宋体" w:eastAsia="宋体" w:cs="宋体"/>
                <w:color w:val="333333"/>
                <w:kern w:val="0"/>
                <w:sz w:val="32"/>
                <w:szCs w:val="32"/>
              </w:rPr>
            </w:pPr>
            <w:r>
              <w:rPr>
                <w:rFonts w:ascii="宋体" w:hAnsi="宋体" w:eastAsia="宋体" w:cs="宋体"/>
                <w:color w:val="333333"/>
                <w:kern w:val="0"/>
                <w:sz w:val="32"/>
                <w:szCs w:val="32"/>
              </w:rPr>
              <w:t> </w:t>
            </w:r>
          </w:p>
          <w:p>
            <w:pPr>
              <w:widowControl/>
              <w:spacing w:before="100" w:beforeAutospacing="1" w:after="100" w:afterAutospacing="1" w:line="360" w:lineRule="auto"/>
              <w:jc w:val="center"/>
              <w:rPr>
                <w:rFonts w:ascii="宋体" w:hAnsi="宋体" w:eastAsia="宋体" w:cs="宋体"/>
                <w:color w:val="333333"/>
                <w:kern w:val="0"/>
                <w:sz w:val="36"/>
                <w:szCs w:val="36"/>
              </w:rPr>
            </w:pPr>
            <w:r>
              <w:rPr>
                <w:rFonts w:hint="eastAsia" w:ascii="宋体" w:hAnsi="宋体" w:eastAsia="宋体" w:cs="宋体"/>
                <w:color w:val="333333"/>
                <w:kern w:val="0"/>
                <w:sz w:val="36"/>
                <w:szCs w:val="36"/>
              </w:rPr>
              <w:t>中央财经大学本科生国家励志奖学金评审办法</w:t>
            </w:r>
          </w:p>
          <w:p>
            <w:pPr>
              <w:widowControl/>
              <w:spacing w:before="100" w:beforeAutospacing="1" w:after="100" w:afterAutospacing="1"/>
              <w:jc w:val="left"/>
              <w:rPr>
                <w:rFonts w:ascii="宋体" w:hAnsi="宋体" w:eastAsia="宋体" w:cs="宋体"/>
                <w:color w:val="333333"/>
                <w:kern w:val="0"/>
                <w:sz w:val="24"/>
                <w:szCs w:val="24"/>
              </w:rPr>
            </w:pPr>
            <w:r>
              <w:rPr>
                <w:rFonts w:hint="eastAsia" w:ascii="仿宋_GB2312" w:hAnsi="宋体" w:eastAsia="仿宋_GB2312" w:cs="宋体"/>
                <w:color w:val="333333"/>
                <w:kern w:val="0"/>
                <w:sz w:val="36"/>
                <w:szCs w:val="36"/>
              </w:rPr>
              <w:t xml:space="preserve">   </w:t>
            </w:r>
            <w:r>
              <w:rPr>
                <w:rFonts w:hint="eastAsia" w:ascii="仿宋_GB2312" w:hAnsi="宋体" w:eastAsia="仿宋_GB2312" w:cs="宋体"/>
                <w:color w:val="333333"/>
                <w:kern w:val="0"/>
                <w:sz w:val="32"/>
                <w:szCs w:val="32"/>
              </w:rPr>
              <w:t>为了进一步做好我校本科生国家励志奖学金的申请和评审工作，保证本科生国家励志奖学金的评审质量，根据财政部、教育部《普通本科高校、高等职业学校国家励志奖学金管理暂行办法》（财教〔2007〕91号）的精神，结合我校实际情况，特制定本办法。</w:t>
            </w:r>
          </w:p>
          <w:p>
            <w:pPr>
              <w:widowControl/>
              <w:spacing w:before="100" w:beforeAutospacing="1" w:after="100" w:afterAutospacing="1"/>
              <w:jc w:val="center"/>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第一章 总则</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第一条 国家励志奖学金由中央财政出资设立，是国家为激励家庭经济困难的本科学生勤奋学习、努力进取，在德、智、体、美等方面得到全面发展而设立的奖学金。</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第二条 国家励志奖学金按学年进行评审。</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同一学年内，获得国家励志奖学金的学生可以同时获得国家助学金，但不能同时获得国家奖学金。</w:t>
            </w:r>
          </w:p>
          <w:p>
            <w:pPr>
              <w:widowControl/>
              <w:spacing w:before="100" w:beforeAutospacing="1" w:after="100" w:afterAutospacing="1"/>
              <w:jc w:val="center"/>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第二章 名额分配和奖励标准</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第三条 我校本科生国家励志奖学金的名额和预算由教育部确定。</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我校根据教育部下达的本科生国家励志奖学金名额和上一学年家庭经济困难学生认定情况，按上一学年各学院（含研究院、中心，下同）本科2-4年级家庭经济困难学生人数比例确定名额分配方案。</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第四条 本科生国家励志奖学金的奖励标准为每人每年5000元。</w:t>
            </w:r>
          </w:p>
          <w:p>
            <w:pPr>
              <w:widowControl/>
              <w:spacing w:before="100" w:beforeAutospacing="1" w:after="100" w:afterAutospacing="1"/>
              <w:jc w:val="center"/>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第三章 申请</w:t>
            </w:r>
          </w:p>
          <w:p>
            <w:pPr>
              <w:widowControl/>
              <w:spacing w:before="100" w:beforeAutospacing="1" w:after="100" w:afterAutospacing="1" w:line="360" w:lineRule="auto"/>
              <w:ind w:firstLine="742"/>
              <w:jc w:val="left"/>
              <w:rPr>
                <w:rFonts w:ascii="宋体" w:hAnsi="宋体" w:eastAsia="宋体" w:cs="宋体"/>
                <w:color w:val="333333"/>
                <w:kern w:val="0"/>
                <w:sz w:val="24"/>
                <w:szCs w:val="24"/>
                <w:highlight w:val="yellow"/>
              </w:rPr>
            </w:pPr>
            <w:r>
              <w:rPr>
                <w:rFonts w:hint="eastAsia" w:ascii="仿宋_GB2312" w:hAnsi="宋体" w:eastAsia="仿宋_GB2312" w:cs="宋体"/>
                <w:color w:val="333333"/>
                <w:kern w:val="0"/>
                <w:sz w:val="32"/>
                <w:szCs w:val="32"/>
                <w:highlight w:val="yellow"/>
              </w:rPr>
              <w:t>第五条 我校在读的全日制本科二年级（含）以上、本学年</w:t>
            </w:r>
            <w:r>
              <w:rPr>
                <w:rFonts w:hint="eastAsia" w:ascii="仿宋_GB2312" w:hAnsi="宋体" w:eastAsia="仿宋_GB2312" w:cs="宋体"/>
                <w:color w:val="333333"/>
                <w:kern w:val="0"/>
                <w:sz w:val="32"/>
                <w:szCs w:val="32"/>
                <w:highlight w:val="magenta"/>
              </w:rPr>
              <w:t>学校认定的家庭经济困难学生</w:t>
            </w:r>
            <w:r>
              <w:rPr>
                <w:rFonts w:hint="eastAsia" w:ascii="仿宋_GB2312" w:hAnsi="宋体" w:eastAsia="仿宋_GB2312" w:cs="宋体"/>
                <w:color w:val="333333"/>
                <w:kern w:val="0"/>
                <w:sz w:val="32"/>
                <w:szCs w:val="32"/>
                <w:highlight w:val="yellow"/>
              </w:rPr>
              <w:t>，具备以下所有条件的，可以申请：</w:t>
            </w:r>
          </w:p>
          <w:p>
            <w:pPr>
              <w:widowControl/>
              <w:spacing w:before="100" w:beforeAutospacing="1" w:after="100" w:afterAutospacing="1" w:line="360" w:lineRule="auto"/>
              <w:ind w:firstLine="742"/>
              <w:jc w:val="left"/>
              <w:rPr>
                <w:rFonts w:ascii="宋体" w:hAnsi="宋体" w:eastAsia="宋体" w:cs="宋体"/>
                <w:color w:val="333333"/>
                <w:kern w:val="0"/>
                <w:sz w:val="24"/>
                <w:szCs w:val="24"/>
                <w:highlight w:val="yellow"/>
              </w:rPr>
            </w:pPr>
            <w:r>
              <w:rPr>
                <w:rFonts w:hint="eastAsia" w:ascii="仿宋_GB2312" w:hAnsi="宋体" w:eastAsia="仿宋_GB2312" w:cs="宋体"/>
                <w:color w:val="333333"/>
                <w:kern w:val="0"/>
                <w:sz w:val="32"/>
                <w:szCs w:val="32"/>
                <w:highlight w:val="yellow"/>
              </w:rPr>
              <w:t>1.热爱社会主义祖国，拥护中国共产党的领导；</w:t>
            </w:r>
          </w:p>
          <w:p>
            <w:pPr>
              <w:widowControl/>
              <w:spacing w:before="100" w:beforeAutospacing="1" w:after="100" w:afterAutospacing="1" w:line="360" w:lineRule="auto"/>
              <w:ind w:firstLine="742"/>
              <w:jc w:val="left"/>
              <w:rPr>
                <w:rFonts w:ascii="宋体" w:hAnsi="宋体" w:eastAsia="宋体" w:cs="宋体"/>
                <w:color w:val="333333"/>
                <w:kern w:val="0"/>
                <w:sz w:val="24"/>
                <w:szCs w:val="24"/>
                <w:highlight w:val="yellow"/>
              </w:rPr>
            </w:pPr>
            <w:r>
              <w:rPr>
                <w:rFonts w:hint="eastAsia" w:ascii="仿宋_GB2312" w:hAnsi="宋体" w:eastAsia="仿宋_GB2312" w:cs="宋体"/>
                <w:color w:val="333333"/>
                <w:kern w:val="0"/>
                <w:sz w:val="32"/>
                <w:szCs w:val="32"/>
                <w:highlight w:val="yellow"/>
              </w:rPr>
              <w:t>2.遵守国家法律和校规校纪，诚实守信；</w:t>
            </w:r>
          </w:p>
          <w:p>
            <w:pPr>
              <w:widowControl/>
              <w:spacing w:before="100" w:beforeAutospacing="1" w:after="100" w:afterAutospacing="1" w:line="360" w:lineRule="auto"/>
              <w:ind w:firstLine="742"/>
              <w:jc w:val="left"/>
              <w:rPr>
                <w:rFonts w:ascii="宋体" w:hAnsi="宋体" w:eastAsia="宋体" w:cs="宋体"/>
                <w:color w:val="333333"/>
                <w:kern w:val="0"/>
                <w:sz w:val="24"/>
                <w:szCs w:val="24"/>
                <w:highlight w:val="magenta"/>
              </w:rPr>
            </w:pPr>
            <w:r>
              <w:rPr>
                <w:rFonts w:hint="eastAsia" w:ascii="仿宋_GB2312" w:hAnsi="宋体" w:eastAsia="仿宋_GB2312" w:cs="宋体"/>
                <w:color w:val="333333"/>
                <w:kern w:val="0"/>
                <w:sz w:val="32"/>
                <w:szCs w:val="32"/>
                <w:highlight w:val="magenta"/>
              </w:rPr>
              <w:t>3.上一学年必修课、限选课和任选课所有考试无不通过课程；</w:t>
            </w:r>
          </w:p>
          <w:p>
            <w:pPr>
              <w:widowControl/>
              <w:spacing w:before="100" w:beforeAutospacing="1" w:after="100" w:afterAutospacing="1" w:line="360" w:lineRule="auto"/>
              <w:ind w:firstLine="742"/>
              <w:jc w:val="left"/>
              <w:rPr>
                <w:rFonts w:ascii="宋体" w:hAnsi="宋体" w:eastAsia="宋体" w:cs="宋体"/>
                <w:color w:val="333333"/>
                <w:kern w:val="0"/>
                <w:sz w:val="24"/>
                <w:szCs w:val="24"/>
                <w:highlight w:val="magenta"/>
              </w:rPr>
            </w:pPr>
            <w:r>
              <w:rPr>
                <w:rFonts w:hint="eastAsia" w:ascii="仿宋_GB2312" w:hAnsi="宋体" w:eastAsia="仿宋_GB2312" w:cs="宋体"/>
                <w:color w:val="333333"/>
                <w:kern w:val="0"/>
                <w:sz w:val="32"/>
                <w:szCs w:val="32"/>
                <w:highlight w:val="magenta"/>
              </w:rPr>
              <w:t>4.上一学年学分加权平均分达到80分（含）以上，且素质评价总成绩居于班级排名50%（含）以内；</w:t>
            </w:r>
          </w:p>
          <w:p>
            <w:pPr>
              <w:widowControl/>
              <w:spacing w:before="100" w:beforeAutospacing="1" w:after="100" w:afterAutospacing="1" w:line="360" w:lineRule="auto"/>
              <w:ind w:firstLine="742"/>
              <w:jc w:val="left"/>
              <w:rPr>
                <w:rFonts w:ascii="宋体" w:hAnsi="宋体" w:eastAsia="宋体" w:cs="宋体"/>
                <w:color w:val="333333"/>
                <w:kern w:val="0"/>
                <w:sz w:val="24"/>
                <w:szCs w:val="24"/>
                <w:highlight w:val="yellow"/>
              </w:rPr>
            </w:pPr>
            <w:r>
              <w:rPr>
                <w:rFonts w:hint="eastAsia" w:ascii="仿宋_GB2312" w:hAnsi="宋体" w:eastAsia="仿宋_GB2312" w:cs="宋体"/>
                <w:color w:val="333333"/>
                <w:kern w:val="0"/>
                <w:sz w:val="32"/>
                <w:szCs w:val="32"/>
                <w:highlight w:val="yellow"/>
              </w:rPr>
              <w:t>5.家庭经济困难，生活俭朴。</w:t>
            </w:r>
          </w:p>
          <w:p>
            <w:pPr>
              <w:widowControl/>
              <w:spacing w:before="100" w:beforeAutospacing="1" w:after="100" w:afterAutospacing="1" w:line="360" w:lineRule="auto"/>
              <w:ind w:firstLine="742"/>
              <w:jc w:val="left"/>
              <w:rPr>
                <w:rFonts w:ascii="宋体" w:hAnsi="宋体" w:eastAsia="宋体" w:cs="宋体"/>
                <w:color w:val="333333"/>
                <w:kern w:val="0"/>
                <w:sz w:val="24"/>
                <w:szCs w:val="24"/>
                <w:highlight w:val="none"/>
              </w:rPr>
            </w:pPr>
            <w:r>
              <w:rPr>
                <w:rFonts w:hint="eastAsia" w:ascii="仿宋_GB2312" w:hAnsi="宋体" w:eastAsia="仿宋_GB2312" w:cs="宋体"/>
                <w:color w:val="333333"/>
                <w:kern w:val="0"/>
                <w:sz w:val="32"/>
                <w:szCs w:val="32"/>
                <w:highlight w:val="none"/>
              </w:rPr>
              <w:t>第六条 学校助学服务中心接到教育部下达的本科生国家励志奖学金相关文件后，于每年9-10月在校园网发布申请公告，凡符合条件的学生向学院提出申请，本学年转专业学生在原学院申请。</w:t>
            </w:r>
            <w:bookmarkStart w:id="0" w:name="_GoBack"/>
            <w:bookmarkEnd w:id="0"/>
          </w:p>
          <w:p>
            <w:pPr>
              <w:widowControl/>
              <w:spacing w:before="100" w:beforeAutospacing="1" w:after="100" w:afterAutospacing="1" w:line="360" w:lineRule="auto"/>
              <w:jc w:val="center"/>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第四章 评审</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第七条 学校成立“中央财经大学本科生国家励志奖学金评审委员会”（以下简称评委会），全面领导评审工作，研究决定有关评审的重大事项，制定评审办法和评审通知，审定各学院提交的本科生国家励志奖学金初审意见。</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评委会由主管学生工作的校领导任主任，成员由相关职能部门负责人、各学院分管学生工作的负责人组成。</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评委会下设办公室，办公室设在助学服务中心，负责本科生国家励志奖学金评审工作的协调统筹。</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第八条 各学院成立本科生国家励志奖学金评审小组（以下简称评审小组），负责组织本学院学生国家励志奖学金的申请和评审工作。</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评审小组由学院分管学生工作的负责人任组长，组员应包括学院主管本科教学工作的学院领导、学生工作办公室负责人、辅导员、班主任和学生代表等，组长和成员总人数不少于6人。</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第九条 国家励志奖学金评审工作坚持公开、公平、公正、择优的原则，实行等额评审。</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第十条 每学年学校发布评审通知后，各学院评审小组根据学院实际，制定本学院评审细则，细则中应包含本科生国家励志奖学金的名额、评审办法、申报条件等内容。评审办法要在全院范围内进行公示，公示无异议后，报学校助学服务中心备案。</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第十一条 各学院评审小组初审通过的名单在学院内进行公示，公示期不少于3个工作日。公示无异议后，报送学校助学服务中心。</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第十二条 学校助学服务中心复核学院初审名单后，提交学校评委会审定，审定的结果在全校范围内进行公示，公示期不少于5个工作日。</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第十三条 学校助学服务中心将公示无异议的名单，在规定时间内报送教育部审批。</w:t>
            </w:r>
          </w:p>
          <w:p>
            <w:pPr>
              <w:widowControl/>
              <w:spacing w:before="100" w:beforeAutospacing="1" w:after="100" w:afterAutospacing="1" w:line="360" w:lineRule="auto"/>
              <w:jc w:val="center"/>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第五章 发放、管理与监督</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第十四条 教育部批复后，学校助学服务中心将本科生国家励志奖学金一次性发放给获奖学生，颁发获奖证书，并将获奖证明放入学生本人档案。</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第十五条 学校严格执行国家相关法规和本办法的规定，对本科生国家励志奖学金实行分账核算，专款专用，不截留、挤占、挪用，同时接受上级主管机关和学校财务、审计等部门的检查和监督。</w:t>
            </w:r>
          </w:p>
          <w:p>
            <w:pPr>
              <w:widowControl/>
              <w:spacing w:before="100" w:beforeAutospacing="1" w:after="100" w:afterAutospacing="1" w:line="360" w:lineRule="auto"/>
              <w:jc w:val="center"/>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第六章 附则</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第十六条 本办法由学校助学服务中心负责解释。</w:t>
            </w:r>
          </w:p>
          <w:p>
            <w:pPr>
              <w:widowControl/>
              <w:spacing w:before="100" w:beforeAutospacing="1" w:after="100" w:afterAutospacing="1" w:line="360" w:lineRule="auto"/>
              <w:ind w:firstLine="742"/>
              <w:jc w:val="left"/>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第十七条 本办法自发文之日起施行，原《中央财经大学国家励志奖学金评审办法》（校发〔2012〕64号）同时废止。</w:t>
            </w:r>
          </w:p>
          <w:p>
            <w:pPr>
              <w:widowControl/>
              <w:spacing w:before="100" w:beforeAutospacing="1" w:after="100" w:afterAutospacing="1" w:line="360" w:lineRule="auto"/>
              <w:ind w:firstLine="742"/>
              <w:jc w:val="center"/>
              <w:rPr>
                <w:rFonts w:ascii="宋体" w:hAnsi="宋体" w:eastAsia="宋体" w:cs="宋体"/>
                <w:color w:val="333333"/>
                <w:kern w:val="0"/>
                <w:sz w:val="24"/>
                <w:szCs w:val="24"/>
              </w:rPr>
            </w:pPr>
            <w:r>
              <w:rPr>
                <w:rFonts w:ascii="宋体" w:hAnsi="宋体" w:eastAsia="宋体" w:cs="宋体"/>
                <w:color w:val="333333"/>
                <w:kern w:val="0"/>
                <w:sz w:val="32"/>
                <w:szCs w:val="32"/>
              </w:rPr>
              <w:t> </w:t>
            </w:r>
          </w:p>
        </w:tc>
      </w:tr>
      <w:tr>
        <w:tblPrEx>
          <w:tblLayout w:type="fixed"/>
          <w:tblCellMar>
            <w:top w:w="0" w:type="dxa"/>
            <w:left w:w="0" w:type="dxa"/>
            <w:bottom w:w="0" w:type="dxa"/>
            <w:right w:w="0" w:type="dxa"/>
          </w:tblCellMar>
        </w:tblPrEx>
        <w:trPr>
          <w:trHeight w:val="467" w:hRule="atLeast"/>
          <w:jc w:val="center"/>
        </w:trPr>
        <w:tc>
          <w:tcPr>
            <w:tcW w:w="8795" w:type="dxa"/>
            <w:tcBorders>
              <w:top w:val="single" w:color="auto" w:sz="8" w:space="0"/>
              <w:left w:val="nil"/>
              <w:bottom w:val="nil"/>
              <w:right w:val="nil"/>
            </w:tcBorders>
          </w:tcPr>
          <w:p>
            <w:pPr>
              <w:widowControl/>
              <w:spacing w:before="100" w:beforeAutospacing="1" w:after="100" w:afterAutospacing="1" w:line="360" w:lineRule="auto"/>
              <w:ind w:firstLine="480"/>
              <w:jc w:val="center"/>
              <w:rPr>
                <w:rFonts w:ascii="宋体" w:hAnsi="宋体" w:eastAsia="宋体" w:cs="宋体"/>
                <w:color w:val="333333"/>
                <w:kern w:val="0"/>
                <w:sz w:val="24"/>
                <w:szCs w:val="24"/>
              </w:rPr>
            </w:pPr>
            <w:r>
              <w:rPr>
                <w:rFonts w:hint="eastAsia" w:ascii="仿宋_GB2312" w:hAnsi="宋体" w:eastAsia="仿宋_GB2312" w:cs="宋体"/>
                <w:color w:val="333333"/>
                <w:kern w:val="0"/>
                <w:sz w:val="32"/>
                <w:szCs w:val="32"/>
              </w:rPr>
              <w:t>学校办公室           2016年9月23日印发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roma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30"/>
    <w:rsid w:val="001A043F"/>
    <w:rsid w:val="00477181"/>
    <w:rsid w:val="00483A03"/>
    <w:rsid w:val="005A0444"/>
    <w:rsid w:val="006F6393"/>
    <w:rsid w:val="008007DE"/>
    <w:rsid w:val="00960130"/>
    <w:rsid w:val="00B30C9C"/>
    <w:rsid w:val="00CB1390"/>
    <w:rsid w:val="00FB7BFE"/>
    <w:rsid w:val="45563566"/>
    <w:rsid w:val="4BB8214D"/>
    <w:rsid w:val="7D1C082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286</Words>
  <Characters>1636</Characters>
  <Lines>13</Lines>
  <Paragraphs>3</Paragraphs>
  <TotalTime>0</TotalTime>
  <ScaleCrop>false</ScaleCrop>
  <LinksUpToDate>false</LinksUpToDate>
  <CharactersWithSpaces>1919</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2016-09-28T00:53:00Z</dcterms:created>
  <dc:creator>tf</dc:creator>
  <cp:lastModifiedBy>cufelawxg</cp:lastModifiedBy>
  <dcterms:modified xsi:type="dcterms:W3CDTF">2016-09-30T08:47:11Z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